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="Arial" w:hAnsi="Arial" w:eastAsia="黑体" w:cs="Times New Roman"/>
          <w:sz w:val="24"/>
          <w:szCs w:val="20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黑体" w:cs="Times New Roman"/>
          <w:sz w:val="24"/>
          <w:szCs w:val="20"/>
          <w:lang w:val="en-US" w:eastAsia="zh-CN"/>
        </w:rPr>
        <w:t>附件</w:t>
      </w:r>
      <w:r>
        <w:rPr>
          <w:rFonts w:hint="eastAsia" w:cs="Times New Roman"/>
          <w:sz w:val="24"/>
          <w:szCs w:val="2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金城·金润红安居房项目可行性研究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报告交付要求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一、可研报告总体结构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金城·</w:t>
      </w: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金润红安居房</w:t>
      </w: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项目可行性研究报告</w:t>
      </w: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总体结构包含但不限于以下主要部分：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（一）项目基本情况；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（二）项目合规性情况；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（三）投资必要性和可行性；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（四）项目投资模式（合作模式）；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（五）所在城市介绍；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（六）市场预测分析；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（七）项目建设与运营的实施方案；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（八）项目投融资方案；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（九）投资财务分析；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 xml:space="preserve">（十）风险评估及防范措施；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28"/>
          <w:szCs w:val="28"/>
          <w:lang w:val="en-US" w:eastAsia="zh-CN" w:bidi="ar-SA"/>
        </w:rPr>
        <w:t>（十一）结论与建议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对部分章节具体要求如下所示。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（一）项目实施背景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包含不限于项目实施政策背景、项目实施市场背景、项目实施区域背景。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项目区位（省份、城市、行政区、片区）；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周边配套、土地现状、上位规划、控制性规划（调整预期）。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三、投资模式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海口市安居房开发流程、海口市安居房政策优势、秀英区政府现阶段具体支持措施。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四、海口市城市介绍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城市简介、城市规划、城市经济经济发展。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五、市场预测分析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（一）宏观政策及影响分析；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（二）土地市场分析（所在城市总体、项目周边）；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（三）商品住宅市场分析（所在城市总体、项目周边）、商业产品分析（所在城市总体、项目周边）、周边竞品分析（选择不低于3个项目，分析维度包含不限于户型结构、主力客群、销售情况、去化速度等）；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（四）市场分析结论。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六、建设与运营的实施方案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（一）一级开发方案：</w:t>
      </w:r>
      <w:r>
        <w:rPr>
          <w:rFonts w:hint="eastAsia" w:ascii="仿宋" w:hAnsi="仿宋" w:eastAsia="仿宋" w:cs="仿宋"/>
          <w:sz w:val="28"/>
          <w:szCs w:val="28"/>
        </w:rPr>
        <w:t>拆迁安置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方案、时间计划安排、政企分工、土地平整、基础设施建设（五通一平、大市政配套等）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（二）二级开发方案：强排方案、配套设施建设要求（学校、医院、幼儿园、农贸市场等）；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（三）地块指标汇总（预期规划调整）；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（四）开发时序及周期：出让节奏、价格、开发排期；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（五）项目产品设计：基于强排方案的外立面、户型、地下室、景观、动线、日照等设计；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（六）工程排期：基于上述设计方案的工程计划、预计的施工方案、工期估算、施工排布等。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（七）成本造价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1.一级开发成本预估（实物成本、货币成本）、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2.全周期开发各科目成本预估（土地成本、前期费用、市政基础设施、建安和装修费、期间费用、增值税、附加税、土增税、企业所得税、不可预见费）；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（八）销售计划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基于市场环境结论制定的销售计划，包含不限于各产品对应的销售均价、去化周期、年涨幅假设、回款节奏等。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七、项目投融资方案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（一）项目公司现金流量表，提现资金峰值、回正时间节点。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项目总投资构成，其中自有资金XX亿元（占比XX%），对外融资XX亿元（占比XX%），回款再投入XX亿元（占比XX%）。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（三）融资方案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基于项目公司现金流量，股东借款支持土地款、前期费用直到项目开工；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开工后银行贷款进入，置换股东借款，补足项目公司资金缺口；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预售后销售回款再投入进入，采用最大还款法归还银行借款，补足项目公司资金缺口。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八、投资财务分析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（一）财务评价指标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1.静态指标分析：项目总投、收入、税费、税前利润、企业所得税、税后利润；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2.动态指标分析：项目自有资金财务内部收益率（所得税后）、项目财务内部收益率（所得税前）、销售净利率。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（二）敏感性分析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1.容积率和总货值的敏感性；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2.售价和财务评价指标的敏感性。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认可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项目可行性研究报告上述交付要求，并在报告中予以充分体现。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编制单位（盖章）：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19" w:firstLineChars="136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编制团队负责人签字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60" w:firstLineChars="1200"/>
        <w:textAlignment w:val="auto"/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签订时间： </w:t>
      </w: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年 </w:t>
      </w: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月 </w:t>
      </w:r>
      <w:r>
        <w:rPr>
          <w:rFonts w:hint="eastAsia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仿宋" w:hAnsi="仿宋" w:eastAsia="仿宋" w:cs="仿宋"/>
          <w:b w:val="0"/>
          <w:spacing w:val="0"/>
          <w:kern w:val="2"/>
          <w:sz w:val="28"/>
          <w:szCs w:val="28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TUzOWY1Mzg5MmY2NmQ3NzQ3Y2EzYzIwMTc1OTYifQ=="/>
  </w:docVars>
  <w:rsids>
    <w:rsidRoot w:val="10D266EA"/>
    <w:rsid w:val="05A83BA2"/>
    <w:rsid w:val="05BF57A5"/>
    <w:rsid w:val="0FB90B30"/>
    <w:rsid w:val="10D266EA"/>
    <w:rsid w:val="116D1181"/>
    <w:rsid w:val="16CB38EE"/>
    <w:rsid w:val="20E66FB4"/>
    <w:rsid w:val="25946EAB"/>
    <w:rsid w:val="2915695A"/>
    <w:rsid w:val="2D840638"/>
    <w:rsid w:val="2DEF16A4"/>
    <w:rsid w:val="300B215E"/>
    <w:rsid w:val="3034389C"/>
    <w:rsid w:val="3040231C"/>
    <w:rsid w:val="33B84A8E"/>
    <w:rsid w:val="37CE29EA"/>
    <w:rsid w:val="38232AD7"/>
    <w:rsid w:val="39BA79A0"/>
    <w:rsid w:val="3C3758BA"/>
    <w:rsid w:val="3E89793E"/>
    <w:rsid w:val="44331338"/>
    <w:rsid w:val="49CE3305"/>
    <w:rsid w:val="4B8759D2"/>
    <w:rsid w:val="4E3926C4"/>
    <w:rsid w:val="4FA5497D"/>
    <w:rsid w:val="511C5AC0"/>
    <w:rsid w:val="598D14BB"/>
    <w:rsid w:val="5AC77548"/>
    <w:rsid w:val="617813FE"/>
    <w:rsid w:val="640C4293"/>
    <w:rsid w:val="65E1363D"/>
    <w:rsid w:val="65F83BF2"/>
    <w:rsid w:val="6A8B3EC4"/>
    <w:rsid w:val="6ECD4D88"/>
    <w:rsid w:val="728C1A59"/>
    <w:rsid w:val="73C944FE"/>
    <w:rsid w:val="76560517"/>
    <w:rsid w:val="798A34C5"/>
    <w:rsid w:val="79FF78CA"/>
    <w:rsid w:val="7ABC4E36"/>
    <w:rsid w:val="7B7F1C91"/>
    <w:rsid w:val="7D054B5C"/>
    <w:rsid w:val="7E07319B"/>
    <w:rsid w:val="7FD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qFormat/>
    <w:uiPriority w:val="0"/>
    <w:pPr>
      <w:widowControl w:val="0"/>
      <w:spacing w:after="0"/>
      <w:jc w:val="both"/>
    </w:pPr>
    <w:rPr>
      <w:rFonts w:ascii="Times New Roman" w:hAnsi="Times New Roman"/>
    </w:rPr>
  </w:style>
  <w:style w:type="paragraph" w:styleId="3">
    <w:name w:val="Body Text"/>
    <w:basedOn w:val="1"/>
    <w:next w:val="1"/>
    <w:autoRedefine/>
    <w:unhideWhenUsed/>
    <w:qFormat/>
    <w:uiPriority w:val="99"/>
    <w:pPr>
      <w:spacing w:line="360" w:lineRule="auto"/>
    </w:pPr>
    <w:rPr>
      <w:rFonts w:ascii="Calibri" w:hAnsi="Calibri" w:eastAsia="华文中宋"/>
      <w:sz w:val="36"/>
      <w:szCs w:val="24"/>
    </w:rPr>
  </w:style>
  <w:style w:type="paragraph" w:styleId="4">
    <w:name w:val="Body Text First Indent 2"/>
    <w:basedOn w:val="5"/>
    <w:next w:val="1"/>
    <w:autoRedefine/>
    <w:qFormat/>
    <w:uiPriority w:val="0"/>
    <w:pPr>
      <w:ind w:left="200" w:firstLine="200" w:firstLineChars="200"/>
    </w:pPr>
    <w:rPr>
      <w:rFonts w:ascii="Verdana" w:hAnsi="Verdana"/>
      <w:szCs w:val="24"/>
      <w:lang w:eastAsia="en-US"/>
    </w:rPr>
  </w:style>
  <w:style w:type="paragraph" w:styleId="5">
    <w:name w:val="Body Text Indent"/>
    <w:basedOn w:val="1"/>
    <w:next w:val="6"/>
    <w:autoRedefine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10">
    <w:name w:val="Table Grid"/>
    <w:basedOn w:val="9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41"/>
    <w:basedOn w:val="11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21"/>
    <w:basedOn w:val="11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2024-03-28T01:59:00Z</dcterms:created>
  <dc:creator>陈加佳</dc:creator>
  <cp:lastModifiedBy>于豪亮</cp:lastModifiedBy>
  <cp:lastPrinted>2024-04-02T00:33:00Z</cp:lastPrinted>
  <dcterms:modified xsi:type="dcterms:W3CDTF">2024-04-02T00:47:31Z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5FA20408FD6A4735BC73B1A38C833343_13</vt:lpwstr>
  </property>
</Properties>
</file>